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E0F943" w14:textId="77777777" w:rsidR="00A301CF" w:rsidRDefault="00A301CF" w:rsidP="005B67B6">
      <w:pPr>
        <w:pStyle w:val="11"/>
        <w:ind w:firstLineChars="0" w:firstLine="0"/>
        <w:jc w:val="center"/>
        <w:rPr>
          <w:sz w:val="32"/>
          <w:szCs w:val="32"/>
        </w:rPr>
      </w:pPr>
      <w:bookmarkStart w:id="0" w:name="_Toc432952466"/>
      <w:r>
        <w:rPr>
          <w:rFonts w:hint="eastAsia"/>
          <w:sz w:val="32"/>
          <w:szCs w:val="32"/>
        </w:rPr>
        <w:t>比索洛尔治疗高血压及合并冠心病的临床疗效观察</w:t>
      </w:r>
      <w:bookmarkStart w:id="1" w:name="OLE_LINK1"/>
      <w:bookmarkEnd w:id="0"/>
    </w:p>
    <w:p w14:paraId="38C73D62" w14:textId="23D8BA0C" w:rsidR="005B67B6" w:rsidRPr="005B67B6" w:rsidRDefault="005B67B6" w:rsidP="005B67B6">
      <w:r>
        <w:rPr>
          <w:rFonts w:hint="eastAsia"/>
        </w:rPr>
        <w:t xml:space="preserve">                                 </w:t>
      </w:r>
      <w:r>
        <w:rPr>
          <w:rFonts w:hint="eastAsia"/>
        </w:rPr>
        <w:t>申请人</w:t>
      </w:r>
      <w:r w:rsidR="00D31075">
        <w:rPr>
          <w:rFonts w:hint="eastAsia"/>
        </w:rPr>
        <w:t>：</w:t>
      </w:r>
      <w:r>
        <w:rPr>
          <w:rFonts w:hint="eastAsia"/>
        </w:rPr>
        <w:t>马新豫</w:t>
      </w:r>
    </w:p>
    <w:p w14:paraId="4E8A9B5D" w14:textId="070E3F25" w:rsidR="005B67B6" w:rsidRPr="005B67B6" w:rsidRDefault="005B67B6" w:rsidP="005B67B6">
      <w:r>
        <w:rPr>
          <w:rFonts w:hint="eastAsia"/>
        </w:rPr>
        <w:t xml:space="preserve">                                 </w:t>
      </w:r>
      <w:r>
        <w:rPr>
          <w:rFonts w:hint="eastAsia"/>
        </w:rPr>
        <w:t>指导教师</w:t>
      </w:r>
      <w:r w:rsidR="00D31075">
        <w:rPr>
          <w:rFonts w:hint="eastAsia"/>
        </w:rPr>
        <w:t>：</w:t>
      </w:r>
      <w:bookmarkStart w:id="2" w:name="_GoBack"/>
      <w:bookmarkEnd w:id="2"/>
      <w:r>
        <w:rPr>
          <w:rFonts w:hint="eastAsia"/>
        </w:rPr>
        <w:t>吕风华</w:t>
      </w:r>
    </w:p>
    <w:p w14:paraId="3677128E" w14:textId="77777777" w:rsidR="00A301CF" w:rsidRDefault="00A301CF" w:rsidP="00A301CF">
      <w:pPr>
        <w:tabs>
          <w:tab w:val="left" w:pos="0"/>
        </w:tabs>
        <w:adjustRightInd w:val="0"/>
        <w:snapToGrid w:val="0"/>
        <w:spacing w:line="360" w:lineRule="auto"/>
        <w:rPr>
          <w:rFonts w:eastAsia="黑体"/>
          <w:color w:val="000000"/>
          <w:sz w:val="28"/>
          <w:szCs w:val="28"/>
        </w:rPr>
      </w:pPr>
      <w:r>
        <w:rPr>
          <w:rFonts w:eastAsia="黑体" w:hint="eastAsia"/>
          <w:color w:val="000000"/>
          <w:sz w:val="28"/>
          <w:szCs w:val="28"/>
        </w:rPr>
        <w:t>目的</w:t>
      </w:r>
    </w:p>
    <w:p w14:paraId="110FAE47" w14:textId="77777777" w:rsidR="00A301CF" w:rsidRDefault="00A301CF" w:rsidP="00A301CF">
      <w:pPr>
        <w:tabs>
          <w:tab w:val="left" w:pos="0"/>
        </w:tabs>
        <w:adjustRightInd w:val="0"/>
        <w:snapToGrid w:val="0"/>
        <w:spacing w:line="360" w:lineRule="auto"/>
        <w:ind w:firstLineChars="250" w:firstLine="600"/>
        <w:rPr>
          <w:color w:val="000000"/>
          <w:sz w:val="24"/>
          <w:szCs w:val="24"/>
        </w:rPr>
      </w:pPr>
      <w:r>
        <w:rPr>
          <w:rFonts w:hint="eastAsia"/>
          <w:color w:val="000000"/>
          <w:sz w:val="24"/>
          <w:szCs w:val="24"/>
        </w:rPr>
        <w:t>本课题拟对本院</w:t>
      </w:r>
      <w:r>
        <w:rPr>
          <w:color w:val="000000"/>
          <w:sz w:val="24"/>
          <w:szCs w:val="24"/>
        </w:rPr>
        <w:t>120</w:t>
      </w:r>
      <w:r>
        <w:rPr>
          <w:rFonts w:hint="eastAsia"/>
          <w:color w:val="000000"/>
          <w:sz w:val="24"/>
          <w:szCs w:val="24"/>
        </w:rPr>
        <w:t>例高血压患者治疗前的心率、儿茶酚胺水平和血压进行相关分析，分析经过比索洛尔治疗前后患者心率、血压、儿茶酚胺水平、心衰指标、左心室重构指标的变化，同时分析比索洛尔对不同心率、儿茶酚胺水平、高血压合并冠心病的患者治疗效果，为临床应用比索洛尔治疗高血压的作用机制及对高血压合并冠心病的治疗提供理论依据。</w:t>
      </w:r>
    </w:p>
    <w:p w14:paraId="219D815B" w14:textId="77777777" w:rsidR="00A301CF" w:rsidRDefault="00A301CF" w:rsidP="00A301CF">
      <w:pPr>
        <w:adjustRightInd w:val="0"/>
        <w:snapToGrid w:val="0"/>
        <w:spacing w:line="360" w:lineRule="auto"/>
        <w:rPr>
          <w:rFonts w:eastAsia="黑体"/>
          <w:sz w:val="28"/>
          <w:szCs w:val="28"/>
        </w:rPr>
      </w:pPr>
      <w:r>
        <w:rPr>
          <w:rFonts w:eastAsia="黑体" w:hint="eastAsia"/>
          <w:sz w:val="28"/>
          <w:szCs w:val="28"/>
        </w:rPr>
        <w:t>方法</w:t>
      </w:r>
    </w:p>
    <w:p w14:paraId="3278564D" w14:textId="77777777" w:rsidR="00A301CF" w:rsidRDefault="00A301CF" w:rsidP="00A301CF">
      <w:pPr>
        <w:adjustRightInd w:val="0"/>
        <w:snapToGrid w:val="0"/>
        <w:spacing w:line="360" w:lineRule="auto"/>
        <w:ind w:firstLineChars="200" w:firstLine="480"/>
        <w:rPr>
          <w:color w:val="000000"/>
          <w:sz w:val="24"/>
          <w:szCs w:val="24"/>
        </w:rPr>
      </w:pPr>
      <w:r>
        <w:rPr>
          <w:color w:val="000000"/>
          <w:sz w:val="24"/>
          <w:szCs w:val="24"/>
        </w:rPr>
        <w:t>1.</w:t>
      </w:r>
      <w:r>
        <w:rPr>
          <w:rFonts w:hint="eastAsia"/>
          <w:color w:val="000000"/>
          <w:sz w:val="24"/>
          <w:szCs w:val="24"/>
        </w:rPr>
        <w:t>研究对象：纳入</w:t>
      </w:r>
      <w:r>
        <w:rPr>
          <w:color w:val="000000"/>
          <w:sz w:val="24"/>
          <w:szCs w:val="24"/>
        </w:rPr>
        <w:t>2014</w:t>
      </w:r>
      <w:r>
        <w:rPr>
          <w:rFonts w:hint="eastAsia"/>
          <w:color w:val="000000"/>
          <w:sz w:val="24"/>
          <w:szCs w:val="24"/>
        </w:rPr>
        <w:t>年</w:t>
      </w:r>
      <w:r>
        <w:rPr>
          <w:color w:val="000000"/>
          <w:sz w:val="24"/>
          <w:szCs w:val="24"/>
        </w:rPr>
        <w:t>3</w:t>
      </w:r>
      <w:r>
        <w:rPr>
          <w:rFonts w:hint="eastAsia"/>
          <w:color w:val="000000"/>
          <w:sz w:val="24"/>
          <w:szCs w:val="24"/>
        </w:rPr>
        <w:t>月份到</w:t>
      </w:r>
      <w:r>
        <w:rPr>
          <w:color w:val="000000"/>
          <w:sz w:val="24"/>
          <w:szCs w:val="24"/>
        </w:rPr>
        <w:t>2015</w:t>
      </w:r>
      <w:r>
        <w:rPr>
          <w:rFonts w:hint="eastAsia"/>
          <w:color w:val="000000"/>
          <w:sz w:val="24"/>
          <w:szCs w:val="24"/>
        </w:rPr>
        <w:t>年</w:t>
      </w:r>
      <w:r>
        <w:rPr>
          <w:color w:val="000000"/>
          <w:sz w:val="24"/>
          <w:szCs w:val="24"/>
        </w:rPr>
        <w:t>3</w:t>
      </w:r>
      <w:r>
        <w:rPr>
          <w:rFonts w:hint="eastAsia"/>
          <w:color w:val="000000"/>
          <w:sz w:val="24"/>
          <w:szCs w:val="24"/>
        </w:rPr>
        <w:t>月份在驻马店市中心医院心内科住院的高血压患者</w:t>
      </w:r>
      <w:r>
        <w:rPr>
          <w:color w:val="000000"/>
          <w:sz w:val="24"/>
          <w:szCs w:val="24"/>
        </w:rPr>
        <w:t>120</w:t>
      </w:r>
      <w:r>
        <w:rPr>
          <w:rFonts w:hint="eastAsia"/>
          <w:color w:val="000000"/>
          <w:sz w:val="24"/>
          <w:szCs w:val="24"/>
        </w:rPr>
        <w:t>例，随机均分为基础治疗组和比索洛尔治疗组。</w:t>
      </w:r>
    </w:p>
    <w:p w14:paraId="4D93A46F" w14:textId="77777777" w:rsidR="00A301CF" w:rsidRDefault="00A301CF" w:rsidP="00A301CF">
      <w:pPr>
        <w:spacing w:line="360" w:lineRule="auto"/>
        <w:ind w:firstLineChars="200" w:firstLine="480"/>
        <w:rPr>
          <w:rFonts w:hAnsi="宋体"/>
          <w:sz w:val="24"/>
          <w:szCs w:val="24"/>
        </w:rPr>
      </w:pPr>
      <w:r>
        <w:rPr>
          <w:color w:val="000000"/>
          <w:sz w:val="24"/>
          <w:szCs w:val="24"/>
        </w:rPr>
        <w:t xml:space="preserve">2. </w:t>
      </w:r>
      <w:r>
        <w:rPr>
          <w:rFonts w:hint="eastAsia"/>
          <w:color w:val="000000"/>
          <w:sz w:val="24"/>
          <w:szCs w:val="24"/>
        </w:rPr>
        <w:t>资料收集：</w:t>
      </w:r>
      <w:bookmarkStart w:id="3" w:name="OLE_LINK37"/>
      <w:bookmarkStart w:id="4" w:name="OLE_LINK36"/>
      <w:r>
        <w:rPr>
          <w:rFonts w:hAnsi="宋体" w:hint="eastAsia"/>
          <w:sz w:val="24"/>
          <w:szCs w:val="24"/>
        </w:rPr>
        <w:t>收集所有患者入院后基本信息，包括性别、年龄、高血压病史、有无合并冠心病等。检测结果包括治疗前后患者血压、心率、儿茶酚胺水平、心衰指标、炎症指标、左心室重构指等。</w:t>
      </w:r>
    </w:p>
    <w:bookmarkEnd w:id="3"/>
    <w:bookmarkEnd w:id="4"/>
    <w:p w14:paraId="341815B6" w14:textId="77777777" w:rsidR="00A301CF" w:rsidRDefault="00A301CF" w:rsidP="00A301CF">
      <w:pPr>
        <w:spacing w:line="360" w:lineRule="auto"/>
        <w:ind w:firstLineChars="200" w:firstLine="480"/>
        <w:rPr>
          <w:color w:val="000000"/>
          <w:sz w:val="24"/>
          <w:szCs w:val="24"/>
        </w:rPr>
      </w:pPr>
      <w:r>
        <w:rPr>
          <w:color w:val="000000"/>
          <w:sz w:val="24"/>
          <w:szCs w:val="24"/>
        </w:rPr>
        <w:t>3.</w:t>
      </w:r>
      <w:r>
        <w:rPr>
          <w:rFonts w:hint="eastAsia"/>
          <w:color w:val="000000"/>
          <w:sz w:val="24"/>
          <w:szCs w:val="24"/>
        </w:rPr>
        <w:t>统计学方法：计量数据以均数加减标准</w:t>
      </w:r>
      <w:r>
        <w:rPr>
          <w:rFonts w:hint="eastAsia"/>
          <w:sz w:val="24"/>
          <w:szCs w:val="24"/>
        </w:rPr>
        <w:t>差（</w:t>
      </w:r>
      <w:proofErr w:type="spellStart"/>
      <w:r>
        <w:rPr>
          <w:sz w:val="24"/>
          <w:szCs w:val="24"/>
        </w:rPr>
        <w:t>mean±SD</w:t>
      </w:r>
      <w:proofErr w:type="spellEnd"/>
      <w:r>
        <w:rPr>
          <w:rFonts w:hint="eastAsia"/>
          <w:sz w:val="24"/>
          <w:szCs w:val="24"/>
        </w:rPr>
        <w:t>）表</w:t>
      </w:r>
      <w:r>
        <w:rPr>
          <w:rFonts w:hint="eastAsia"/>
          <w:color w:val="000000"/>
          <w:sz w:val="24"/>
          <w:szCs w:val="24"/>
        </w:rPr>
        <w:t>示，两组间差异比较采用</w:t>
      </w:r>
      <w:r>
        <w:rPr>
          <w:i/>
          <w:color w:val="000000"/>
          <w:sz w:val="24"/>
          <w:szCs w:val="24"/>
        </w:rPr>
        <w:t>t</w:t>
      </w:r>
      <w:r>
        <w:rPr>
          <w:rFonts w:hint="eastAsia"/>
          <w:color w:val="000000"/>
          <w:sz w:val="24"/>
          <w:szCs w:val="24"/>
        </w:rPr>
        <w:t>检验，各组数据阳性率比较采用卡方检验。检验水准</w:t>
      </w:r>
      <w:r>
        <w:rPr>
          <w:i/>
          <w:color w:val="000000"/>
          <w:sz w:val="24"/>
          <w:szCs w:val="24"/>
        </w:rPr>
        <w:t>α</w:t>
      </w:r>
      <w:r>
        <w:rPr>
          <w:iCs/>
          <w:color w:val="000000"/>
          <w:sz w:val="24"/>
          <w:szCs w:val="24"/>
        </w:rPr>
        <w:t>=0.05</w:t>
      </w:r>
      <w:r>
        <w:rPr>
          <w:rFonts w:hint="eastAsia"/>
          <w:color w:val="000000"/>
          <w:sz w:val="24"/>
          <w:szCs w:val="24"/>
        </w:rPr>
        <w:t>，</w:t>
      </w:r>
      <w:r>
        <w:rPr>
          <w:i/>
          <w:color w:val="000000"/>
          <w:sz w:val="24"/>
          <w:szCs w:val="24"/>
        </w:rPr>
        <w:t>P</w:t>
      </w:r>
      <w:r>
        <w:rPr>
          <w:color w:val="000000"/>
          <w:sz w:val="24"/>
          <w:szCs w:val="24"/>
        </w:rPr>
        <w:t>&lt;0.05</w:t>
      </w:r>
      <w:r>
        <w:rPr>
          <w:rFonts w:hint="eastAsia"/>
          <w:color w:val="000000"/>
          <w:sz w:val="24"/>
          <w:szCs w:val="24"/>
        </w:rPr>
        <w:t>为差异有统计学意义。</w:t>
      </w:r>
    </w:p>
    <w:p w14:paraId="1B05A35D" w14:textId="77777777" w:rsidR="00A301CF" w:rsidRDefault="00A301CF" w:rsidP="00A301CF">
      <w:pPr>
        <w:tabs>
          <w:tab w:val="left" w:pos="0"/>
        </w:tabs>
        <w:adjustRightInd w:val="0"/>
        <w:snapToGrid w:val="0"/>
        <w:spacing w:line="360" w:lineRule="auto"/>
        <w:rPr>
          <w:rFonts w:eastAsia="黑体"/>
          <w:color w:val="000000"/>
          <w:sz w:val="28"/>
          <w:szCs w:val="28"/>
        </w:rPr>
      </w:pPr>
      <w:r>
        <w:rPr>
          <w:rFonts w:eastAsia="黑体" w:hint="eastAsia"/>
          <w:color w:val="000000"/>
          <w:sz w:val="28"/>
          <w:szCs w:val="28"/>
        </w:rPr>
        <w:t>结果</w:t>
      </w:r>
    </w:p>
    <w:p w14:paraId="4258DBC2" w14:textId="77777777" w:rsidR="00A301CF" w:rsidRDefault="00A301CF" w:rsidP="00A301CF">
      <w:pPr>
        <w:pStyle w:val="a7"/>
        <w:spacing w:line="360" w:lineRule="auto"/>
        <w:ind w:firstLineChars="250" w:firstLine="600"/>
        <w:rPr>
          <w:sz w:val="24"/>
          <w:szCs w:val="24"/>
        </w:rPr>
      </w:pPr>
      <w:r>
        <w:rPr>
          <w:color w:val="000000"/>
          <w:sz w:val="24"/>
          <w:szCs w:val="24"/>
        </w:rPr>
        <w:t>1</w:t>
      </w:r>
      <w:r>
        <w:rPr>
          <w:rFonts w:hAnsi="宋体" w:hint="eastAsia"/>
          <w:color w:val="000000"/>
          <w:sz w:val="24"/>
          <w:szCs w:val="24"/>
        </w:rPr>
        <w:t>．</w:t>
      </w:r>
      <w:r>
        <w:rPr>
          <w:rFonts w:hAnsi="宋体" w:hint="eastAsia"/>
          <w:sz w:val="24"/>
          <w:szCs w:val="24"/>
        </w:rPr>
        <w:t>患者治疗前，基础治疗组和比索洛尔治疗组年龄、性别、心率、血压、儿茶酚胺、心衰指标、左心室重构等均无统计学差异；</w:t>
      </w:r>
    </w:p>
    <w:p w14:paraId="65F38B6C" w14:textId="77777777" w:rsidR="00A301CF" w:rsidRDefault="00A301CF" w:rsidP="00A301CF">
      <w:pPr>
        <w:pStyle w:val="a7"/>
        <w:spacing w:line="360" w:lineRule="auto"/>
        <w:ind w:firstLineChars="250" w:firstLine="600"/>
        <w:rPr>
          <w:sz w:val="24"/>
          <w:szCs w:val="24"/>
        </w:rPr>
      </w:pPr>
      <w:r>
        <w:rPr>
          <w:sz w:val="24"/>
          <w:szCs w:val="24"/>
        </w:rPr>
        <w:t xml:space="preserve">2. </w:t>
      </w:r>
      <w:r>
        <w:rPr>
          <w:rFonts w:hAnsi="宋体" w:hint="eastAsia"/>
          <w:sz w:val="24"/>
          <w:szCs w:val="24"/>
        </w:rPr>
        <w:t>高血压患者</w:t>
      </w:r>
      <w:r>
        <w:rPr>
          <w:sz w:val="24"/>
          <w:szCs w:val="24"/>
        </w:rPr>
        <w:t>SBP</w:t>
      </w:r>
      <w:r>
        <w:rPr>
          <w:rFonts w:hAnsi="宋体" w:hint="eastAsia"/>
          <w:sz w:val="24"/>
          <w:szCs w:val="24"/>
        </w:rPr>
        <w:t>值和</w:t>
      </w:r>
      <w:r>
        <w:rPr>
          <w:sz w:val="24"/>
          <w:szCs w:val="24"/>
        </w:rPr>
        <w:t>MAP</w:t>
      </w:r>
      <w:r>
        <w:rPr>
          <w:rFonts w:hAnsi="宋体" w:hint="eastAsia"/>
          <w:sz w:val="24"/>
          <w:szCs w:val="24"/>
        </w:rPr>
        <w:t>值分别与</w:t>
      </w:r>
      <w:r>
        <w:rPr>
          <w:sz w:val="24"/>
          <w:szCs w:val="24"/>
        </w:rPr>
        <w:t>NE</w:t>
      </w:r>
      <w:r>
        <w:rPr>
          <w:rFonts w:hAnsi="宋体" w:hint="eastAsia"/>
          <w:sz w:val="24"/>
          <w:szCs w:val="24"/>
        </w:rPr>
        <w:t>值和</w:t>
      </w:r>
      <w:r>
        <w:rPr>
          <w:sz w:val="24"/>
          <w:szCs w:val="24"/>
        </w:rPr>
        <w:t>E</w:t>
      </w:r>
      <w:r>
        <w:rPr>
          <w:rFonts w:hAnsi="宋体" w:hint="eastAsia"/>
          <w:sz w:val="24"/>
          <w:szCs w:val="24"/>
        </w:rPr>
        <w:t>值有相关性，</w:t>
      </w:r>
      <w:r>
        <w:rPr>
          <w:color w:val="000000"/>
          <w:sz w:val="24"/>
          <w:szCs w:val="24"/>
        </w:rPr>
        <w:t>DBP</w:t>
      </w:r>
      <w:r>
        <w:rPr>
          <w:rFonts w:hAnsi="宋体" w:hint="eastAsia"/>
          <w:color w:val="000000"/>
          <w:sz w:val="24"/>
          <w:szCs w:val="24"/>
        </w:rPr>
        <w:t>和</w:t>
      </w:r>
      <w:r>
        <w:rPr>
          <w:color w:val="000000"/>
          <w:sz w:val="24"/>
          <w:szCs w:val="24"/>
        </w:rPr>
        <w:t>MAP</w:t>
      </w:r>
      <w:r>
        <w:rPr>
          <w:rFonts w:hAnsi="宋体" w:hint="eastAsia"/>
          <w:bCs/>
          <w:color w:val="000000"/>
          <w:sz w:val="24"/>
          <w:szCs w:val="24"/>
        </w:rPr>
        <w:t>均与</w:t>
      </w:r>
      <w:r>
        <w:rPr>
          <w:bCs/>
          <w:color w:val="000000"/>
          <w:sz w:val="24"/>
          <w:szCs w:val="24"/>
        </w:rPr>
        <w:t>HR</w:t>
      </w:r>
      <w:r>
        <w:rPr>
          <w:rFonts w:hAnsi="宋体" w:hint="eastAsia"/>
          <w:bCs/>
          <w:color w:val="000000"/>
          <w:sz w:val="24"/>
          <w:szCs w:val="24"/>
        </w:rPr>
        <w:t>有相关性，</w:t>
      </w:r>
      <w:r>
        <w:rPr>
          <w:sz w:val="24"/>
          <w:szCs w:val="24"/>
        </w:rPr>
        <w:t>NE</w:t>
      </w:r>
      <w:r>
        <w:rPr>
          <w:rFonts w:hAnsi="宋体" w:hint="eastAsia"/>
          <w:sz w:val="24"/>
          <w:szCs w:val="24"/>
        </w:rPr>
        <w:t>值和</w:t>
      </w:r>
      <w:r>
        <w:rPr>
          <w:sz w:val="24"/>
          <w:szCs w:val="24"/>
        </w:rPr>
        <w:t>E</w:t>
      </w:r>
      <w:r>
        <w:rPr>
          <w:rFonts w:hAnsi="宋体" w:hint="eastAsia"/>
          <w:sz w:val="24"/>
          <w:szCs w:val="24"/>
        </w:rPr>
        <w:t>值均与</w:t>
      </w:r>
      <w:r>
        <w:rPr>
          <w:sz w:val="24"/>
          <w:szCs w:val="24"/>
        </w:rPr>
        <w:t>HR</w:t>
      </w:r>
      <w:r>
        <w:rPr>
          <w:rFonts w:hAnsi="宋体" w:hint="eastAsia"/>
          <w:sz w:val="24"/>
          <w:szCs w:val="24"/>
        </w:rPr>
        <w:t>有相关性；</w:t>
      </w:r>
    </w:p>
    <w:p w14:paraId="4B38A84B" w14:textId="77777777" w:rsidR="00A301CF" w:rsidRDefault="00A301CF" w:rsidP="00A301CF">
      <w:pPr>
        <w:pStyle w:val="a7"/>
        <w:spacing w:line="360" w:lineRule="auto"/>
        <w:ind w:firstLineChars="250" w:firstLine="600"/>
        <w:rPr>
          <w:sz w:val="24"/>
          <w:szCs w:val="24"/>
        </w:rPr>
      </w:pPr>
      <w:r>
        <w:rPr>
          <w:sz w:val="24"/>
          <w:szCs w:val="24"/>
        </w:rPr>
        <w:t>3.</w:t>
      </w:r>
      <w:r>
        <w:t xml:space="preserve"> </w:t>
      </w:r>
      <w:r>
        <w:rPr>
          <w:rFonts w:hAnsi="宋体" w:hint="eastAsia"/>
          <w:bCs/>
          <w:color w:val="000000"/>
          <w:sz w:val="24"/>
          <w:szCs w:val="24"/>
        </w:rPr>
        <w:t>与治疗前相比，比索洛尔治疗组患者心率降低值为（</w:t>
      </w:r>
      <w:r>
        <w:rPr>
          <w:rFonts w:hAnsi="宋体"/>
          <w:bCs/>
          <w:color w:val="000000"/>
          <w:sz w:val="24"/>
          <w:szCs w:val="24"/>
        </w:rPr>
        <w:t>16.9</w:t>
      </w:r>
      <w:r>
        <w:rPr>
          <w:rFonts w:hAnsi="宋体" w:hint="eastAsia"/>
          <w:bCs/>
          <w:color w:val="000000"/>
          <w:sz w:val="24"/>
          <w:szCs w:val="24"/>
        </w:rPr>
        <w:t>±</w:t>
      </w:r>
      <w:r>
        <w:rPr>
          <w:rFonts w:hAnsi="宋体"/>
          <w:bCs/>
          <w:color w:val="000000"/>
          <w:sz w:val="24"/>
          <w:szCs w:val="24"/>
        </w:rPr>
        <w:t>2.1</w:t>
      </w:r>
      <w:r>
        <w:rPr>
          <w:rFonts w:hAnsi="宋体" w:hint="eastAsia"/>
          <w:bCs/>
          <w:color w:val="000000"/>
          <w:sz w:val="24"/>
          <w:szCs w:val="24"/>
        </w:rPr>
        <w:t>）次</w:t>
      </w:r>
      <w:r>
        <w:rPr>
          <w:rFonts w:hAnsi="宋体"/>
          <w:bCs/>
          <w:color w:val="000000"/>
          <w:sz w:val="24"/>
          <w:szCs w:val="24"/>
        </w:rPr>
        <w:t>/</w:t>
      </w:r>
      <w:r>
        <w:rPr>
          <w:rFonts w:hAnsi="宋体" w:hint="eastAsia"/>
          <w:bCs/>
          <w:color w:val="000000"/>
          <w:sz w:val="24"/>
          <w:szCs w:val="24"/>
        </w:rPr>
        <w:t>分，高于基础治疗组降低值（</w:t>
      </w:r>
      <w:r>
        <w:rPr>
          <w:rFonts w:hAnsi="宋体"/>
          <w:bCs/>
          <w:color w:val="000000"/>
          <w:sz w:val="24"/>
          <w:szCs w:val="24"/>
        </w:rPr>
        <w:t>10.4</w:t>
      </w:r>
      <w:r>
        <w:rPr>
          <w:rFonts w:hAnsi="宋体" w:hint="eastAsia"/>
          <w:bCs/>
          <w:color w:val="000000"/>
          <w:sz w:val="24"/>
          <w:szCs w:val="24"/>
        </w:rPr>
        <w:t>±</w:t>
      </w:r>
      <w:r>
        <w:rPr>
          <w:rFonts w:hAnsi="宋体"/>
          <w:bCs/>
          <w:color w:val="000000"/>
          <w:sz w:val="24"/>
          <w:szCs w:val="24"/>
        </w:rPr>
        <w:t>1.9</w:t>
      </w:r>
      <w:r>
        <w:rPr>
          <w:rFonts w:hAnsi="宋体" w:hint="eastAsia"/>
          <w:bCs/>
          <w:color w:val="000000"/>
          <w:sz w:val="24"/>
          <w:szCs w:val="24"/>
        </w:rPr>
        <w:t>）次</w:t>
      </w:r>
      <w:r>
        <w:rPr>
          <w:rFonts w:hAnsi="宋体"/>
          <w:bCs/>
          <w:color w:val="000000"/>
          <w:sz w:val="24"/>
          <w:szCs w:val="24"/>
        </w:rPr>
        <w:t>/</w:t>
      </w:r>
      <w:r>
        <w:rPr>
          <w:rFonts w:hAnsi="宋体" w:hint="eastAsia"/>
          <w:bCs/>
          <w:color w:val="000000"/>
          <w:sz w:val="24"/>
          <w:szCs w:val="24"/>
        </w:rPr>
        <w:t>分，两者有统计学差异；</w:t>
      </w:r>
    </w:p>
    <w:p w14:paraId="579D1AF7" w14:textId="77777777" w:rsidR="00A301CF" w:rsidRDefault="00A301CF" w:rsidP="00A301CF">
      <w:pPr>
        <w:pStyle w:val="a7"/>
        <w:spacing w:line="360" w:lineRule="auto"/>
        <w:ind w:firstLineChars="250" w:firstLine="600"/>
        <w:rPr>
          <w:sz w:val="24"/>
          <w:szCs w:val="24"/>
        </w:rPr>
      </w:pPr>
      <w:r>
        <w:rPr>
          <w:sz w:val="24"/>
          <w:szCs w:val="24"/>
        </w:rPr>
        <w:t xml:space="preserve">4. </w:t>
      </w:r>
      <w:r>
        <w:rPr>
          <w:rFonts w:hAnsi="宋体" w:hint="eastAsia"/>
          <w:bCs/>
          <w:color w:val="000000"/>
          <w:sz w:val="24"/>
          <w:szCs w:val="24"/>
        </w:rPr>
        <w:t>与治疗前相比</w:t>
      </w:r>
      <w:r>
        <w:rPr>
          <w:rFonts w:hAnsi="宋体" w:hint="eastAsia"/>
          <w:sz w:val="24"/>
          <w:szCs w:val="24"/>
        </w:rPr>
        <w:t>，比索洛尔治疗组患者</w:t>
      </w:r>
      <w:r>
        <w:rPr>
          <w:sz w:val="24"/>
          <w:szCs w:val="24"/>
        </w:rPr>
        <w:t>NE</w:t>
      </w:r>
      <w:r>
        <w:rPr>
          <w:rFonts w:hAnsi="宋体" w:hint="eastAsia"/>
          <w:sz w:val="24"/>
          <w:szCs w:val="24"/>
        </w:rPr>
        <w:t>浓度降低值为（</w:t>
      </w:r>
      <w:r>
        <w:rPr>
          <w:sz w:val="24"/>
          <w:szCs w:val="24"/>
        </w:rPr>
        <w:t>111.0±24.1</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，高于基础治疗组降低值（</w:t>
      </w:r>
      <w:r>
        <w:rPr>
          <w:sz w:val="24"/>
          <w:szCs w:val="24"/>
        </w:rPr>
        <w:t>66.8±14.7</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w:t>
      </w:r>
      <w:r>
        <w:rPr>
          <w:sz w:val="24"/>
          <w:szCs w:val="24"/>
        </w:rPr>
        <w:t>E</w:t>
      </w:r>
      <w:r>
        <w:rPr>
          <w:rFonts w:hAnsi="宋体" w:hint="eastAsia"/>
          <w:sz w:val="24"/>
          <w:szCs w:val="24"/>
        </w:rPr>
        <w:t>浓度降低值为（</w:t>
      </w:r>
      <w:r>
        <w:rPr>
          <w:sz w:val="24"/>
          <w:szCs w:val="24"/>
        </w:rPr>
        <w:t>70.4±16.2</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，高于基础治疗组降低值（</w:t>
      </w:r>
      <w:r>
        <w:rPr>
          <w:sz w:val="24"/>
          <w:szCs w:val="24"/>
        </w:rPr>
        <w:t>55.5±13.7</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w:t>
      </w:r>
      <w:r>
        <w:rPr>
          <w:sz w:val="24"/>
          <w:szCs w:val="24"/>
        </w:rPr>
        <w:t>BNP</w:t>
      </w:r>
      <w:r>
        <w:rPr>
          <w:rFonts w:hAnsi="宋体" w:hint="eastAsia"/>
          <w:sz w:val="24"/>
          <w:szCs w:val="24"/>
        </w:rPr>
        <w:t>浓度降低值为（</w:t>
      </w:r>
      <w:r>
        <w:rPr>
          <w:sz w:val="24"/>
          <w:szCs w:val="24"/>
        </w:rPr>
        <w:t>810.6±159.3</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，高于基础治疗组降低值（</w:t>
      </w:r>
      <w:r>
        <w:rPr>
          <w:sz w:val="24"/>
          <w:szCs w:val="24"/>
        </w:rPr>
        <w:t>611.7±210.0</w:t>
      </w:r>
      <w:r>
        <w:rPr>
          <w:rFonts w:hAnsi="宋体" w:hint="eastAsia"/>
          <w:sz w:val="24"/>
          <w:szCs w:val="24"/>
        </w:rPr>
        <w:t>）</w:t>
      </w:r>
      <w:proofErr w:type="spellStart"/>
      <w:r>
        <w:rPr>
          <w:sz w:val="24"/>
          <w:szCs w:val="24"/>
        </w:rPr>
        <w:t>ng</w:t>
      </w:r>
      <w:proofErr w:type="spellEnd"/>
      <w:r>
        <w:rPr>
          <w:sz w:val="24"/>
          <w:szCs w:val="24"/>
        </w:rPr>
        <w:t>/L</w:t>
      </w:r>
      <w:r>
        <w:rPr>
          <w:rFonts w:hAnsi="宋体" w:hint="eastAsia"/>
          <w:sz w:val="24"/>
          <w:szCs w:val="24"/>
        </w:rPr>
        <w:t>，均有统计学差异；</w:t>
      </w:r>
    </w:p>
    <w:p w14:paraId="412047C7" w14:textId="77777777" w:rsidR="00A301CF" w:rsidRDefault="00A301CF" w:rsidP="00A301CF">
      <w:pPr>
        <w:pStyle w:val="a7"/>
        <w:spacing w:line="360" w:lineRule="auto"/>
        <w:ind w:firstLineChars="250" w:firstLine="600"/>
        <w:rPr>
          <w:sz w:val="24"/>
          <w:szCs w:val="24"/>
        </w:rPr>
      </w:pPr>
      <w:r>
        <w:rPr>
          <w:sz w:val="24"/>
          <w:szCs w:val="24"/>
        </w:rPr>
        <w:lastRenderedPageBreak/>
        <w:t xml:space="preserve">5. </w:t>
      </w:r>
      <w:r>
        <w:rPr>
          <w:rFonts w:hAnsi="宋体" w:hint="eastAsia"/>
          <w:bCs/>
          <w:color w:val="000000"/>
          <w:sz w:val="24"/>
          <w:szCs w:val="24"/>
        </w:rPr>
        <w:t>与治疗前相比，</w:t>
      </w:r>
      <w:r>
        <w:rPr>
          <w:rFonts w:hAnsi="宋体" w:hint="eastAsia"/>
          <w:sz w:val="24"/>
          <w:szCs w:val="24"/>
        </w:rPr>
        <w:t>比索洛尔治疗组经治疗后超声心动图检测指标</w:t>
      </w:r>
      <w:r>
        <w:rPr>
          <w:sz w:val="24"/>
          <w:szCs w:val="24"/>
        </w:rPr>
        <w:t>LVEF%</w:t>
      </w:r>
      <w:r>
        <w:rPr>
          <w:rFonts w:hAnsi="宋体" w:hint="eastAsia"/>
          <w:sz w:val="24"/>
          <w:szCs w:val="24"/>
        </w:rPr>
        <w:t>、</w:t>
      </w:r>
      <w:r>
        <w:rPr>
          <w:sz w:val="24"/>
          <w:szCs w:val="24"/>
        </w:rPr>
        <w:t xml:space="preserve"> LVMI</w:t>
      </w:r>
      <w:r>
        <w:rPr>
          <w:rFonts w:hAnsi="宋体" w:hint="eastAsia"/>
          <w:sz w:val="24"/>
          <w:szCs w:val="24"/>
        </w:rPr>
        <w:t>、</w:t>
      </w:r>
      <w:r>
        <w:rPr>
          <w:sz w:val="24"/>
          <w:szCs w:val="24"/>
        </w:rPr>
        <w:t>RWT</w:t>
      </w:r>
      <w:r>
        <w:rPr>
          <w:rFonts w:hAnsi="宋体" w:hint="eastAsia"/>
          <w:sz w:val="24"/>
          <w:szCs w:val="24"/>
        </w:rPr>
        <w:t>变化值均高于基础治疗组，且有统计学差异；</w:t>
      </w:r>
    </w:p>
    <w:p w14:paraId="0E6E732A" w14:textId="77777777" w:rsidR="00A301CF" w:rsidRDefault="00A301CF" w:rsidP="00A301CF">
      <w:pPr>
        <w:pStyle w:val="a7"/>
        <w:spacing w:line="360" w:lineRule="auto"/>
        <w:ind w:firstLineChars="250" w:firstLine="600"/>
        <w:rPr>
          <w:sz w:val="24"/>
          <w:szCs w:val="24"/>
        </w:rPr>
      </w:pPr>
      <w:r>
        <w:rPr>
          <w:sz w:val="24"/>
          <w:szCs w:val="24"/>
        </w:rPr>
        <w:t xml:space="preserve">6. </w:t>
      </w:r>
      <w:r>
        <w:rPr>
          <w:rFonts w:hAnsi="宋体" w:hint="eastAsia"/>
          <w:sz w:val="24"/>
          <w:szCs w:val="24"/>
        </w:rPr>
        <w:t>比索洛尔治疗组中，心率异常组总有效率为</w:t>
      </w:r>
      <w:r>
        <w:rPr>
          <w:sz w:val="24"/>
          <w:szCs w:val="24"/>
        </w:rPr>
        <w:t>96.2%</w:t>
      </w:r>
      <w:r>
        <w:rPr>
          <w:rFonts w:hAnsi="宋体" w:hint="eastAsia"/>
          <w:sz w:val="24"/>
          <w:szCs w:val="24"/>
        </w:rPr>
        <w:t>，高于心率正常组总有效率</w:t>
      </w:r>
      <w:r>
        <w:rPr>
          <w:sz w:val="24"/>
          <w:szCs w:val="24"/>
        </w:rPr>
        <w:t>88.9%</w:t>
      </w:r>
      <w:r>
        <w:rPr>
          <w:rFonts w:hAnsi="宋体" w:hint="eastAsia"/>
          <w:sz w:val="24"/>
          <w:szCs w:val="24"/>
        </w:rPr>
        <w:t>；儿茶酚胺水平异常组总有效率为</w:t>
      </w:r>
      <w:r>
        <w:rPr>
          <w:sz w:val="24"/>
          <w:szCs w:val="24"/>
        </w:rPr>
        <w:t>95.2%</w:t>
      </w:r>
      <w:r>
        <w:rPr>
          <w:rFonts w:hAnsi="宋体" w:hint="eastAsia"/>
          <w:sz w:val="24"/>
          <w:szCs w:val="24"/>
        </w:rPr>
        <w:t>，明显高于正常组患者</w:t>
      </w:r>
      <w:r>
        <w:rPr>
          <w:sz w:val="24"/>
          <w:szCs w:val="24"/>
        </w:rPr>
        <w:t>88.9%</w:t>
      </w:r>
      <w:r>
        <w:rPr>
          <w:rFonts w:hAnsi="宋体" w:hint="eastAsia"/>
          <w:sz w:val="24"/>
          <w:szCs w:val="24"/>
        </w:rPr>
        <w:t>；高血压无合并症组患者总有效率为</w:t>
      </w:r>
      <w:r>
        <w:rPr>
          <w:sz w:val="24"/>
          <w:szCs w:val="24"/>
        </w:rPr>
        <w:t>90.2%</w:t>
      </w:r>
      <w:r>
        <w:rPr>
          <w:rFonts w:hAnsi="宋体" w:hint="eastAsia"/>
          <w:sz w:val="24"/>
          <w:szCs w:val="24"/>
        </w:rPr>
        <w:t>，明显高于高血压合并隐匿性冠心病组总有效率</w:t>
      </w:r>
      <w:r>
        <w:rPr>
          <w:sz w:val="24"/>
          <w:szCs w:val="24"/>
        </w:rPr>
        <w:t>85.2%</w:t>
      </w:r>
      <w:r>
        <w:rPr>
          <w:rFonts w:hAnsi="宋体" w:hint="eastAsia"/>
          <w:sz w:val="24"/>
          <w:szCs w:val="24"/>
        </w:rPr>
        <w:t>，且均有统计学差异。</w:t>
      </w:r>
    </w:p>
    <w:p w14:paraId="3E44CBE1" w14:textId="77777777" w:rsidR="00A301CF" w:rsidRDefault="00A301CF" w:rsidP="00A301CF">
      <w:pPr>
        <w:pStyle w:val="a7"/>
        <w:spacing w:line="360" w:lineRule="auto"/>
        <w:ind w:firstLineChars="0" w:firstLine="0"/>
        <w:rPr>
          <w:color w:val="000000"/>
          <w:sz w:val="24"/>
          <w:szCs w:val="24"/>
        </w:rPr>
      </w:pPr>
      <w:r>
        <w:rPr>
          <w:rFonts w:eastAsia="黑体" w:hint="eastAsia"/>
          <w:color w:val="000000"/>
          <w:sz w:val="28"/>
          <w:szCs w:val="28"/>
        </w:rPr>
        <w:t>结论</w:t>
      </w:r>
      <w:bookmarkEnd w:id="1"/>
    </w:p>
    <w:p w14:paraId="704E445D" w14:textId="77777777" w:rsidR="00A301CF" w:rsidRDefault="00A301CF" w:rsidP="00A301CF">
      <w:pPr>
        <w:tabs>
          <w:tab w:val="left" w:pos="0"/>
        </w:tabs>
        <w:adjustRightInd w:val="0"/>
        <w:snapToGrid w:val="0"/>
        <w:spacing w:line="360" w:lineRule="auto"/>
        <w:ind w:firstLineChars="250" w:firstLine="600"/>
        <w:rPr>
          <w:color w:val="000000"/>
          <w:sz w:val="24"/>
          <w:szCs w:val="24"/>
        </w:rPr>
      </w:pPr>
      <w:r>
        <w:rPr>
          <w:color w:val="000000"/>
          <w:sz w:val="24"/>
          <w:szCs w:val="24"/>
        </w:rPr>
        <w:t>1</w:t>
      </w:r>
      <w:r>
        <w:rPr>
          <w:rFonts w:hint="eastAsia"/>
          <w:color w:val="000000"/>
          <w:sz w:val="24"/>
          <w:szCs w:val="24"/>
        </w:rPr>
        <w:t>．比索洛尔可以通过抑制患者心率及儿茶酚胺释放发挥降压作用，有效缩小左心室舒张末期直径，减少左心室相对室壁厚度，有效抑制患者左心室重构；</w:t>
      </w:r>
    </w:p>
    <w:p w14:paraId="05A18485" w14:textId="77777777" w:rsidR="00A301CF" w:rsidRDefault="00A301CF" w:rsidP="00A301CF">
      <w:pPr>
        <w:adjustRightInd w:val="0"/>
        <w:snapToGrid w:val="0"/>
        <w:spacing w:line="360" w:lineRule="auto"/>
        <w:ind w:firstLineChars="250" w:firstLine="600"/>
        <w:rPr>
          <w:color w:val="000000"/>
          <w:sz w:val="24"/>
          <w:szCs w:val="24"/>
        </w:rPr>
      </w:pPr>
      <w:r>
        <w:rPr>
          <w:color w:val="000000"/>
          <w:sz w:val="24"/>
          <w:szCs w:val="24"/>
        </w:rPr>
        <w:t>2</w:t>
      </w:r>
      <w:r>
        <w:rPr>
          <w:rFonts w:hint="eastAsia"/>
          <w:color w:val="000000"/>
          <w:sz w:val="24"/>
          <w:szCs w:val="24"/>
        </w:rPr>
        <w:t>．心率增快、儿茶酚胺水平增高的高血压患者对比索洛尔治疗较为敏感，而高血压合并隐匿性冠心病的患者对比索洛尔治疗不敏感。</w:t>
      </w:r>
    </w:p>
    <w:p w14:paraId="2065A8FA" w14:textId="77777777" w:rsidR="00A301CF" w:rsidRDefault="00A301CF" w:rsidP="00A301CF">
      <w:pPr>
        <w:adjustRightInd w:val="0"/>
        <w:snapToGrid w:val="0"/>
        <w:spacing w:line="360" w:lineRule="auto"/>
        <w:rPr>
          <w:color w:val="000000"/>
          <w:sz w:val="24"/>
          <w:szCs w:val="24"/>
        </w:rPr>
      </w:pPr>
      <w:r>
        <w:rPr>
          <w:rFonts w:eastAsia="黑体" w:hint="eastAsia"/>
          <w:bCs/>
          <w:color w:val="000000"/>
          <w:sz w:val="28"/>
          <w:szCs w:val="28"/>
        </w:rPr>
        <w:t>关键词</w:t>
      </w:r>
      <w:r>
        <w:rPr>
          <w:rFonts w:eastAsia="黑体"/>
          <w:bCs/>
          <w:color w:val="000000"/>
          <w:sz w:val="28"/>
          <w:szCs w:val="28"/>
        </w:rPr>
        <w:t xml:space="preserve">  </w:t>
      </w:r>
      <w:r>
        <w:rPr>
          <w:rFonts w:hint="eastAsia"/>
          <w:color w:val="000000"/>
          <w:sz w:val="24"/>
          <w:szCs w:val="24"/>
        </w:rPr>
        <w:t>比索洛尔；高血压；</w:t>
      </w:r>
      <w:r>
        <w:rPr>
          <w:rFonts w:hAnsi="宋体" w:hint="eastAsia"/>
          <w:sz w:val="24"/>
          <w:szCs w:val="24"/>
        </w:rPr>
        <w:t>冠心病；临床疗效</w:t>
      </w:r>
    </w:p>
    <w:p w14:paraId="77103D4F" w14:textId="77777777" w:rsidR="00A301CF" w:rsidRDefault="00A301CF" w:rsidP="00A301CF">
      <w:pPr>
        <w:adjustRightInd w:val="0"/>
        <w:snapToGrid w:val="0"/>
        <w:spacing w:line="360" w:lineRule="auto"/>
        <w:ind w:firstLineChars="200" w:firstLine="480"/>
        <w:rPr>
          <w:color w:val="000000"/>
          <w:sz w:val="24"/>
          <w:szCs w:val="24"/>
        </w:rPr>
      </w:pPr>
    </w:p>
    <w:p w14:paraId="450CEC45" w14:textId="77777777" w:rsidR="00AA02C6" w:rsidRPr="00A301CF" w:rsidRDefault="00AA02C6"/>
    <w:sectPr w:rsidR="00AA02C6" w:rsidRPr="00A301CF" w:rsidSect="00AA02C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CDFBE" w14:textId="77777777" w:rsidR="009E4C5D" w:rsidRDefault="009E4C5D" w:rsidP="00A301CF">
      <w:r>
        <w:separator/>
      </w:r>
    </w:p>
  </w:endnote>
  <w:endnote w:type="continuationSeparator" w:id="0">
    <w:p w14:paraId="22833AA9" w14:textId="77777777" w:rsidR="009E4C5D" w:rsidRDefault="009E4C5D" w:rsidP="00A30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0F48D" w14:textId="77777777" w:rsidR="009E4C5D" w:rsidRDefault="009E4C5D" w:rsidP="00A301CF">
      <w:r>
        <w:separator/>
      </w:r>
    </w:p>
  </w:footnote>
  <w:footnote w:type="continuationSeparator" w:id="0">
    <w:p w14:paraId="24EC07E1" w14:textId="77777777" w:rsidR="009E4C5D" w:rsidRDefault="009E4C5D" w:rsidP="00A301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01CF"/>
    <w:rsid w:val="00025CC1"/>
    <w:rsid w:val="0006203C"/>
    <w:rsid w:val="005B67B6"/>
    <w:rsid w:val="007706C6"/>
    <w:rsid w:val="009E4C5D"/>
    <w:rsid w:val="00A301CF"/>
    <w:rsid w:val="00AA02C6"/>
    <w:rsid w:val="00D31075"/>
    <w:rsid w:val="00E71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366A2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01CF"/>
    <w:pPr>
      <w:widowControl w:val="0"/>
      <w:jc w:val="both"/>
    </w:pPr>
    <w:rPr>
      <w:rFonts w:ascii="Times New Roman" w:eastAsia="宋体" w:hAnsi="Times New Roman" w:cs="Times New Roman"/>
      <w:szCs w:val="20"/>
    </w:rPr>
  </w:style>
  <w:style w:type="paragraph" w:styleId="1">
    <w:name w:val="heading 1"/>
    <w:basedOn w:val="a"/>
    <w:next w:val="a"/>
    <w:link w:val="10"/>
    <w:uiPriority w:val="9"/>
    <w:qFormat/>
    <w:rsid w:val="00A301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301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字符"/>
    <w:basedOn w:val="a0"/>
    <w:link w:val="a3"/>
    <w:uiPriority w:val="99"/>
    <w:semiHidden/>
    <w:rsid w:val="00A301CF"/>
    <w:rPr>
      <w:sz w:val="18"/>
      <w:szCs w:val="18"/>
    </w:rPr>
  </w:style>
  <w:style w:type="paragraph" w:styleId="a5">
    <w:name w:val="footer"/>
    <w:basedOn w:val="a"/>
    <w:link w:val="a6"/>
    <w:uiPriority w:val="99"/>
    <w:semiHidden/>
    <w:unhideWhenUsed/>
    <w:rsid w:val="00A301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字符"/>
    <w:basedOn w:val="a0"/>
    <w:link w:val="a5"/>
    <w:uiPriority w:val="99"/>
    <w:semiHidden/>
    <w:rsid w:val="00A301CF"/>
    <w:rPr>
      <w:sz w:val="18"/>
      <w:szCs w:val="18"/>
    </w:rPr>
  </w:style>
  <w:style w:type="paragraph" w:styleId="a7">
    <w:name w:val="List Paragraph"/>
    <w:basedOn w:val="a"/>
    <w:uiPriority w:val="34"/>
    <w:qFormat/>
    <w:rsid w:val="00A301CF"/>
    <w:pPr>
      <w:ind w:firstLineChars="200" w:firstLine="420"/>
    </w:pPr>
  </w:style>
  <w:style w:type="paragraph" w:customStyle="1" w:styleId="11">
    <w:name w:val="样式1"/>
    <w:basedOn w:val="1"/>
    <w:next w:val="a"/>
    <w:rsid w:val="00A301CF"/>
    <w:pPr>
      <w:tabs>
        <w:tab w:val="left" w:pos="0"/>
      </w:tabs>
      <w:adjustRightInd w:val="0"/>
      <w:snapToGrid w:val="0"/>
      <w:spacing w:before="0" w:after="0" w:line="360" w:lineRule="auto"/>
      <w:ind w:firstLineChars="300" w:firstLine="300"/>
    </w:pPr>
    <w:rPr>
      <w:rFonts w:eastAsia="黑体"/>
      <w:b w:val="0"/>
      <w:color w:val="000000"/>
      <w:sz w:val="30"/>
      <w:szCs w:val="24"/>
    </w:rPr>
  </w:style>
  <w:style w:type="character" w:customStyle="1" w:styleId="10">
    <w:name w:val="标题 1字符"/>
    <w:basedOn w:val="a0"/>
    <w:link w:val="1"/>
    <w:uiPriority w:val="9"/>
    <w:rsid w:val="00A301CF"/>
    <w:rPr>
      <w:rFonts w:ascii="Times New Roman" w:eastAsia="宋体" w:hAnsi="Times New Roman" w:cs="Times New Roman"/>
      <w:b/>
      <w:bCs/>
      <w:kern w:val="44"/>
      <w:sz w:val="44"/>
      <w:szCs w:val="4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55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188</Words>
  <Characters>1072</Characters>
  <Application>Microsoft Macintosh Word</Application>
  <DocSecurity>0</DocSecurity>
  <Lines>8</Lines>
  <Paragraphs>2</Paragraphs>
  <ScaleCrop>false</ScaleCrop>
  <Company/>
  <LinksUpToDate>false</LinksUpToDate>
  <CharactersWithSpaces>1258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DaiYC</dc:creator>
  <cp:keywords/>
  <dc:description/>
  <cp:lastModifiedBy>张 浩男</cp:lastModifiedBy>
  <cp:revision>6</cp:revision>
  <dcterms:created xsi:type="dcterms:W3CDTF">2016-05-05T08:35:00Z</dcterms:created>
  <dcterms:modified xsi:type="dcterms:W3CDTF">2016-05-06T06:52:00Z</dcterms:modified>
</cp:coreProperties>
</file>